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732003" w:rsidRDefault="007828CF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8" o:title=""/>
          </v:shape>
          <o:OLEObject Type="Embed" ProgID="CorelDraw.Graphic.12" ShapeID="_x0000_i1025" DrawAspect="Content" ObjectID="_1679128190" r:id="rId9"/>
        </w:object>
      </w:r>
    </w:p>
    <w:p w:rsidR="007828CF" w:rsidRPr="00732003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7828CF" w:rsidRPr="00732003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0552E2" w:rsidRPr="00732003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</w:t>
      </w:r>
      <w:r w:rsidR="000552E2" w:rsidRPr="00732003">
        <w:rPr>
          <w:b/>
          <w:sz w:val="28"/>
          <w:lang w:val="ru-RU"/>
        </w:rPr>
        <w:t>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="000552E2" w:rsidRPr="00732003">
        <w:rPr>
          <w:b/>
          <w:sz w:val="28"/>
          <w:lang w:val="ru-RU"/>
        </w:rPr>
        <w:t>)</w:t>
      </w:r>
    </w:p>
    <w:p w:rsidR="007B4022" w:rsidRPr="00732003" w:rsidRDefault="007B4022" w:rsidP="00D557AE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427" w:rsidRPr="00732003" w:rsidRDefault="00B16427" w:rsidP="00B16427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Pr="00732003">
        <w:rPr>
          <w:rFonts w:ascii="Times New Roman" w:hAnsi="Times New Roman"/>
          <w:sz w:val="28"/>
          <w:szCs w:val="28"/>
          <w:lang w:val="ru-RU"/>
        </w:rPr>
        <w:t xml:space="preserve"> фрахтовый год:</w:t>
      </w:r>
    </w:p>
    <w:p w:rsidR="00B16427" w:rsidRPr="00732003" w:rsidRDefault="00023974" w:rsidP="00B16427">
      <w:pPr>
        <w:pStyle w:val="a3"/>
        <w:numPr>
          <w:ilvl w:val="0"/>
          <w:numId w:val="13"/>
        </w:numPr>
        <w:tabs>
          <w:tab w:val="left" w:pos="426"/>
        </w:tabs>
        <w:spacing w:line="32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</w:t>
      </w:r>
      <w:r w:rsidR="00042CF4">
        <w:rPr>
          <w:rFonts w:ascii="Times New Roman" w:hAnsi="Times New Roman"/>
          <w:sz w:val="28"/>
          <w:szCs w:val="28"/>
          <w:lang w:val="ru-RU"/>
        </w:rPr>
        <w:t>0</w:t>
      </w:r>
      <w:r w:rsidR="0001355E" w:rsidRPr="0001355E">
        <w:rPr>
          <w:rFonts w:ascii="Times New Roman" w:hAnsi="Times New Roman"/>
          <w:sz w:val="28"/>
          <w:szCs w:val="28"/>
          <w:lang w:val="ru-RU"/>
        </w:rPr>
        <w:t>4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.202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г. по 3</w:t>
      </w:r>
      <w:r w:rsidR="0001355E" w:rsidRPr="0001355E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042CF4">
        <w:rPr>
          <w:rFonts w:ascii="Times New Roman" w:hAnsi="Times New Roman"/>
          <w:sz w:val="28"/>
          <w:szCs w:val="28"/>
          <w:lang w:val="ru-RU"/>
        </w:rPr>
        <w:t>0</w:t>
      </w:r>
      <w:r w:rsidR="0001355E" w:rsidRPr="0001355E">
        <w:rPr>
          <w:rFonts w:ascii="Times New Roman" w:hAnsi="Times New Roman"/>
          <w:sz w:val="28"/>
          <w:szCs w:val="28"/>
          <w:lang w:val="ru-RU"/>
        </w:rPr>
        <w:t>6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.202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 xml:space="preserve">г. </w:t>
      </w:r>
      <w:r>
        <w:rPr>
          <w:rFonts w:ascii="Times New Roman" w:hAnsi="Times New Roman"/>
          <w:sz w:val="28"/>
          <w:szCs w:val="28"/>
          <w:lang w:val="ru-RU"/>
        </w:rPr>
        <w:t xml:space="preserve">включительно 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при расчете провозной платы за перевозки грузов, в зависимости от дальности перевозок, будут применят</w:t>
      </w:r>
      <w:r w:rsidR="00142864">
        <w:rPr>
          <w:rFonts w:ascii="Times New Roman" w:hAnsi="Times New Roman"/>
          <w:sz w:val="28"/>
          <w:szCs w:val="28"/>
          <w:lang w:val="ru-RU"/>
        </w:rPr>
        <w:t>ь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ся коэффициенты, указанные в Таблице1</w:t>
      </w:r>
      <w:r w:rsidR="00B16427" w:rsidRPr="00732003">
        <w:rPr>
          <w:rFonts w:ascii="Times New Roman" w:hAnsi="Times New Roman"/>
          <w:sz w:val="28"/>
          <w:szCs w:val="28"/>
          <w:lang w:val="hy-AM"/>
        </w:rPr>
        <w:t>:</w:t>
      </w:r>
    </w:p>
    <w:p w:rsidR="008819ED" w:rsidRPr="009A2314" w:rsidRDefault="00B16427" w:rsidP="008819ED">
      <w:pPr>
        <w:pStyle w:val="a3"/>
        <w:tabs>
          <w:tab w:val="left" w:pos="426"/>
        </w:tabs>
        <w:spacing w:line="32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8819ED" w:rsidRPr="009A2314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8819ED" w:rsidRPr="00732003" w:rsidTr="00B92CBA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Kоэффициент</w:t>
            </w:r>
          </w:p>
        </w:tc>
      </w:tr>
      <w:tr w:rsidR="00B92CBA" w:rsidRPr="00732003" w:rsidTr="00B92CBA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B23D0C" w:rsidRDefault="00B92CBA" w:rsidP="0001355E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91</w:t>
            </w:r>
          </w:p>
        </w:tc>
      </w:tr>
      <w:tr w:rsidR="00B92CBA" w:rsidRPr="00732003" w:rsidTr="00B92CBA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636320" w:rsidRDefault="00B92CBA" w:rsidP="000135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="0001355E">
              <w:rPr>
                <w:color w:val="000000" w:themeColor="text1"/>
              </w:rPr>
              <w:t>95</w:t>
            </w:r>
          </w:p>
        </w:tc>
      </w:tr>
      <w:tr w:rsidR="00B92CBA" w:rsidRPr="00732003" w:rsidTr="00B92CBA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71</w:t>
            </w:r>
          </w:p>
        </w:tc>
      </w:tr>
      <w:tr w:rsidR="00B92CBA" w:rsidRPr="00732003" w:rsidTr="00B92CBA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01355E" w:rsidRDefault="00B92CBA" w:rsidP="000135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</w:rPr>
              <w:t>0,7</w:t>
            </w:r>
            <w:r w:rsidR="0001355E">
              <w:rPr>
                <w:color w:val="000000" w:themeColor="text1"/>
              </w:rPr>
              <w:t>44</w:t>
            </w:r>
          </w:p>
        </w:tc>
      </w:tr>
    </w:tbl>
    <w:p w:rsidR="008819ED" w:rsidRPr="00732003" w:rsidRDefault="008819ED" w:rsidP="008819ED">
      <w:pPr>
        <w:spacing w:line="320" w:lineRule="exact"/>
        <w:jc w:val="both"/>
        <w:rPr>
          <w:sz w:val="28"/>
          <w:szCs w:val="28"/>
        </w:rPr>
      </w:pP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284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</w:t>
      </w:r>
      <w:r w:rsidR="00BD220B">
        <w:rPr>
          <w:sz w:val="28"/>
          <w:szCs w:val="28"/>
          <w:lang w:val="ru-RU"/>
        </w:rPr>
        <w:t>ь</w:t>
      </w:r>
      <w:r w:rsidRPr="00732003">
        <w:rPr>
          <w:sz w:val="28"/>
          <w:szCs w:val="28"/>
          <w:lang w:val="ru-RU"/>
        </w:rPr>
        <w:t xml:space="preserve">ся коэффициенты, указанные в таблице 2: </w:t>
      </w:r>
    </w:p>
    <w:p w:rsidR="00B92CBA" w:rsidRDefault="00B92CBA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sz w:val="28"/>
          <w:szCs w:val="28"/>
        </w:rPr>
      </w:pPr>
    </w:p>
    <w:p w:rsidR="008819ED" w:rsidRPr="004F2E7F" w:rsidRDefault="00B92CBA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8819ED" w:rsidRPr="004F2E7F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6"/>
        <w:tblW w:w="0" w:type="auto"/>
        <w:tblInd w:w="469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C2EA1" w:rsidTr="005F0C57">
        <w:trPr>
          <w:trHeight w:val="329"/>
        </w:trPr>
        <w:tc>
          <w:tcPr>
            <w:tcW w:w="2972" w:type="dxa"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984" w:type="dxa"/>
          </w:tcPr>
          <w:p w:rsidR="00B92CBA" w:rsidRPr="00CC2EA1" w:rsidRDefault="00B92CBA" w:rsidP="00E22713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127" w:type="dxa"/>
          </w:tcPr>
          <w:p w:rsidR="00B92CBA" w:rsidRPr="00CC2EA1" w:rsidRDefault="00B92CBA" w:rsidP="00E22713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B92CBA" w:rsidRPr="00CC2EA1" w:rsidTr="005F0C57">
        <w:tc>
          <w:tcPr>
            <w:tcW w:w="2972" w:type="dxa"/>
            <w:vMerge w:val="restart"/>
          </w:tcPr>
          <w:p w:rsidR="00B92CBA" w:rsidRPr="00CC2EA1" w:rsidRDefault="00B92CBA" w:rsidP="00E22713">
            <w:pPr>
              <w:pStyle w:val="aa"/>
              <w:ind w:left="0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127" w:type="dxa"/>
          </w:tcPr>
          <w:p w:rsidR="00B92CBA" w:rsidRPr="0001355E" w:rsidRDefault="00B92CBA" w:rsidP="0001355E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</w:t>
            </w:r>
            <w:r w:rsidR="0001355E">
              <w:rPr>
                <w:color w:val="000000" w:themeColor="text1"/>
              </w:rPr>
              <w:t>04</w:t>
            </w:r>
          </w:p>
        </w:tc>
      </w:tr>
      <w:tr w:rsidR="00B92CBA" w:rsidRPr="00CC2EA1" w:rsidTr="005F0C57">
        <w:tc>
          <w:tcPr>
            <w:tcW w:w="2972" w:type="dxa"/>
            <w:vMerge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127" w:type="dxa"/>
          </w:tcPr>
          <w:p w:rsidR="00B92CBA" w:rsidRPr="0001355E" w:rsidRDefault="00B92CBA" w:rsidP="0001355E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 w:rsidR="0001355E">
              <w:rPr>
                <w:color w:val="000000" w:themeColor="text1"/>
              </w:rPr>
              <w:t>13</w:t>
            </w:r>
          </w:p>
        </w:tc>
      </w:tr>
      <w:tr w:rsidR="00B92CBA" w:rsidRPr="00CC2EA1" w:rsidTr="005F0C57">
        <w:tc>
          <w:tcPr>
            <w:tcW w:w="2972" w:type="dxa"/>
            <w:vMerge w:val="restart"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127" w:type="dxa"/>
          </w:tcPr>
          <w:p w:rsidR="00B92CBA" w:rsidRPr="00636320" w:rsidRDefault="00B92CBA" w:rsidP="00E2271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0,960</w:t>
            </w:r>
          </w:p>
        </w:tc>
      </w:tr>
      <w:tr w:rsidR="00B92CBA" w:rsidRPr="00CC2EA1" w:rsidTr="005F0C57">
        <w:tc>
          <w:tcPr>
            <w:tcW w:w="2972" w:type="dxa"/>
            <w:vMerge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127" w:type="dxa"/>
          </w:tcPr>
          <w:p w:rsidR="00B92CBA" w:rsidRPr="00636320" w:rsidRDefault="00B92CBA" w:rsidP="00E2271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0,965</w:t>
            </w:r>
          </w:p>
        </w:tc>
      </w:tr>
    </w:tbl>
    <w:p w:rsidR="008819ED" w:rsidRPr="00732003" w:rsidRDefault="008819ED" w:rsidP="008819ED">
      <w:pPr>
        <w:spacing w:line="320" w:lineRule="exact"/>
        <w:ind w:left="426"/>
        <w:jc w:val="both"/>
        <w:rPr>
          <w:sz w:val="28"/>
          <w:szCs w:val="28"/>
        </w:rPr>
      </w:pP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провозной платы за перевозки груженых вагонов, отправляемых со станций ЗАО «ЮКЖД» назначением на станции ЗАО «ЮКЖД», дополнительно к Таблице 1 будет применят</w:t>
      </w:r>
      <w:r w:rsidR="00142864">
        <w:rPr>
          <w:sz w:val="28"/>
          <w:szCs w:val="28"/>
          <w:lang w:val="ru-RU"/>
        </w:rPr>
        <w:t>ь</w:t>
      </w:r>
      <w:r w:rsidRPr="00732003">
        <w:rPr>
          <w:sz w:val="28"/>
          <w:szCs w:val="28"/>
          <w:lang w:val="ru-RU"/>
        </w:rPr>
        <w:t xml:space="preserve">ся </w:t>
      </w:r>
      <w:r w:rsidRPr="00B92CBA">
        <w:rPr>
          <w:color w:val="000000" w:themeColor="text1"/>
          <w:sz w:val="28"/>
          <w:szCs w:val="28"/>
          <w:lang w:val="ru-RU"/>
        </w:rPr>
        <w:t>коэффициент 0,</w:t>
      </w:r>
      <w:r w:rsidR="00B92CBA" w:rsidRPr="00B92CBA">
        <w:rPr>
          <w:color w:val="000000" w:themeColor="text1"/>
          <w:sz w:val="28"/>
          <w:szCs w:val="28"/>
          <w:lang w:val="ru-RU"/>
        </w:rPr>
        <w:t>49</w:t>
      </w:r>
      <w:r w:rsidRPr="00B92CBA">
        <w:rPr>
          <w:color w:val="000000" w:themeColor="text1"/>
          <w:sz w:val="28"/>
          <w:szCs w:val="28"/>
          <w:lang w:val="ru-RU"/>
        </w:rPr>
        <w:t xml:space="preserve"> </w:t>
      </w:r>
      <w:r w:rsidRPr="00732003">
        <w:rPr>
          <w:sz w:val="28"/>
          <w:szCs w:val="28"/>
          <w:lang w:val="ru-RU"/>
        </w:rPr>
        <w:t>(кроме расчета провозной платы грузов, указанных в пункте 2.5 ТП ЗАО «ЮКЖД» на 202</w:t>
      </w:r>
      <w:r w:rsidR="00042CF4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год и нефтеналивных грузов).</w:t>
      </w: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                      ЗАО «ЮКЖД» на перевозки грузов железнодорожным транспортом на 202</w:t>
      </w:r>
      <w:r w:rsidR="00042CF4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фрахтовый год», не будет применят</w:t>
      </w:r>
      <w:r w:rsidR="00142864">
        <w:rPr>
          <w:sz w:val="28"/>
          <w:szCs w:val="28"/>
          <w:lang w:val="ru-RU"/>
        </w:rPr>
        <w:t>ь</w:t>
      </w:r>
      <w:r w:rsidRPr="00732003">
        <w:rPr>
          <w:sz w:val="28"/>
          <w:szCs w:val="28"/>
          <w:lang w:val="ru-RU"/>
        </w:rPr>
        <w:t>ся.</w:t>
      </w:r>
    </w:p>
    <w:p w:rsidR="0065476F" w:rsidRPr="00042CF4" w:rsidRDefault="008819ED" w:rsidP="00042CF4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Таблице 1 будет применят</w:t>
      </w:r>
      <w:r w:rsidR="00142864">
        <w:rPr>
          <w:sz w:val="28"/>
          <w:szCs w:val="28"/>
          <w:lang w:val="ru-RU"/>
        </w:rPr>
        <w:t>ь</w:t>
      </w:r>
      <w:r w:rsidRPr="00732003">
        <w:rPr>
          <w:sz w:val="28"/>
          <w:szCs w:val="28"/>
          <w:lang w:val="ru-RU"/>
        </w:rPr>
        <w:t>ся коэффициент 0,8.</w:t>
      </w:r>
    </w:p>
    <w:p w:rsidR="006D2AB4" w:rsidRPr="00C8089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sz w:val="28"/>
          <w:szCs w:val="28"/>
          <w:lang w:val="ru-RU"/>
        </w:rPr>
        <w:t>20</w:t>
      </w:r>
      <w:r w:rsidR="00B16427" w:rsidRPr="00C80899">
        <w:rPr>
          <w:sz w:val="28"/>
          <w:szCs w:val="28"/>
          <w:lang w:val="ru-RU"/>
        </w:rPr>
        <w:t>2</w:t>
      </w:r>
      <w:r w:rsidR="00042CF4">
        <w:rPr>
          <w:sz w:val="28"/>
          <w:szCs w:val="28"/>
          <w:lang w:val="ru-RU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042CF4" w:rsidRPr="00042CF4">
        <w:rPr>
          <w:rFonts w:ascii="Sylfaen" w:hAnsi="Sylfaen"/>
          <w:sz w:val="28"/>
          <w:szCs w:val="28"/>
          <w:lang w:val="hy-AM"/>
        </w:rPr>
        <w:t>0</w:t>
      </w:r>
      <w:r w:rsidR="0001355E" w:rsidRPr="0001355E">
        <w:rPr>
          <w:rFonts w:ascii="Sylfaen" w:hAnsi="Sylfaen"/>
          <w:sz w:val="28"/>
          <w:szCs w:val="28"/>
          <w:lang w:val="hy-AM"/>
        </w:rPr>
        <w:t>4</w:t>
      </w:r>
      <w:r w:rsidRPr="00C80899">
        <w:rPr>
          <w:rFonts w:ascii="Sylfaen" w:hAnsi="Sylfaen"/>
          <w:sz w:val="28"/>
          <w:szCs w:val="28"/>
          <w:lang w:val="hy-AM"/>
        </w:rPr>
        <w:t>.20</w:t>
      </w:r>
      <w:r w:rsidR="00B16427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թ. - 3</w:t>
      </w:r>
      <w:r w:rsidR="0001355E" w:rsidRPr="0001355E">
        <w:rPr>
          <w:rFonts w:ascii="Sylfaen" w:hAnsi="Sylfaen"/>
          <w:sz w:val="28"/>
          <w:szCs w:val="28"/>
          <w:lang w:val="hy-AM"/>
        </w:rPr>
        <w:t>0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="00042CF4" w:rsidRPr="00042CF4">
        <w:rPr>
          <w:rFonts w:ascii="Sylfaen" w:hAnsi="Sylfaen"/>
          <w:sz w:val="28"/>
          <w:szCs w:val="28"/>
          <w:lang w:val="hy-AM"/>
        </w:rPr>
        <w:t>0</w:t>
      </w:r>
      <w:r w:rsidR="0001355E" w:rsidRPr="0001355E">
        <w:rPr>
          <w:rFonts w:ascii="Sylfaen" w:hAnsi="Sylfaen"/>
          <w:sz w:val="28"/>
          <w:szCs w:val="28"/>
          <w:lang w:val="hy-AM"/>
        </w:rPr>
        <w:t>6</w:t>
      </w:r>
      <w:r w:rsidRPr="00C80899">
        <w:rPr>
          <w:rFonts w:ascii="Sylfaen" w:hAnsi="Sylfaen"/>
          <w:sz w:val="28"/>
          <w:szCs w:val="28"/>
          <w:lang w:val="hy-AM"/>
        </w:rPr>
        <w:t>.20</w:t>
      </w:r>
      <w:r w:rsidR="00B16427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C8089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C80899" w:rsidRPr="00C80899" w:rsidTr="0020472C">
        <w:trPr>
          <w:trHeight w:val="733"/>
        </w:trPr>
        <w:tc>
          <w:tcPr>
            <w:tcW w:w="6237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B92CBA" w:rsidRPr="00C80899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B92CBA" w:rsidRPr="00C80899" w:rsidRDefault="00B92CBA" w:rsidP="00B92CBA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Համապիտանի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մասնագիտացված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(</w:t>
            </w:r>
            <w:r w:rsidRPr="00C80899">
              <w:rPr>
                <w:rFonts w:ascii="Sylfaen" w:hAnsi="Sylfaen" w:cs="Sylfaen"/>
                <w:lang w:val="hy-AM"/>
              </w:rPr>
              <w:t>բացառությամբ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այն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շարժակազմի</w:t>
            </w:r>
            <w:r w:rsidRPr="00C80899">
              <w:rPr>
                <w:rFonts w:ascii="Sylfaen" w:hAnsi="Sylfaen"/>
                <w:lang w:val="hy-AM"/>
              </w:rPr>
              <w:t xml:space="preserve">, </w:t>
            </w:r>
            <w:r w:rsidRPr="00C80899">
              <w:rPr>
                <w:rFonts w:ascii="Sylfaen" w:hAnsi="Sylfaen" w:cs="Sylfaen"/>
                <w:lang w:val="hy-AM"/>
              </w:rPr>
              <w:t>որի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սակագնի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դրույքաչափերը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նշված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են</w:t>
            </w:r>
            <w:r w:rsidRPr="00C80899">
              <w:rPr>
                <w:rFonts w:ascii="Sylfaen" w:hAnsi="Sylfaen"/>
                <w:lang w:val="hy-AM"/>
              </w:rPr>
              <w:t xml:space="preserve"> «</w:t>
            </w:r>
            <w:r w:rsidRPr="00C80899">
              <w:rPr>
                <w:rFonts w:ascii="Sylfaen" w:hAnsi="Sylfaen" w:cs="Sylfaen"/>
                <w:lang w:val="hy-AM"/>
              </w:rPr>
              <w:t>ՀԿԵ</w:t>
            </w:r>
            <w:r w:rsidRPr="00C80899">
              <w:rPr>
                <w:rFonts w:ascii="Sylfaen" w:hAnsi="Sylfaen"/>
                <w:lang w:val="hy-AM"/>
              </w:rPr>
              <w:t xml:space="preserve">» </w:t>
            </w:r>
            <w:r w:rsidRPr="00C80899">
              <w:rPr>
                <w:rFonts w:ascii="Sylfaen" w:hAnsi="Sylfaen" w:cs="Sylfaen"/>
                <w:lang w:val="hy-AM"/>
              </w:rPr>
              <w:t>ՓԲԸ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ՍՔ</w:t>
            </w:r>
            <w:r w:rsidRPr="00C80899">
              <w:rPr>
                <w:rFonts w:ascii="Sylfaen" w:hAnsi="Sylfaen"/>
                <w:lang w:val="hy-AM"/>
              </w:rPr>
              <w:t xml:space="preserve"> 2-3 </w:t>
            </w:r>
            <w:r w:rsidRPr="00C80899">
              <w:rPr>
                <w:rFonts w:ascii="Sylfaen" w:hAnsi="Sylfaen" w:cs="Sylfaen"/>
                <w:lang w:val="hy-AM"/>
              </w:rPr>
              <w:t>հավելվածում</w:t>
            </w:r>
            <w:r w:rsidRPr="00C80899">
              <w:rPr>
                <w:rFonts w:ascii="Sylfaen" w:hAnsi="Sylfaen" w:cs="Sylfaen"/>
              </w:rPr>
              <w:t>,</w:t>
            </w:r>
            <w:r w:rsidRPr="00C8089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C80899">
              <w:rPr>
                <w:rFonts w:ascii="Sylfaen" w:hAnsi="Sylfaen" w:cs="Sylfaen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8089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B92CBA" w:rsidRPr="00B23D0C" w:rsidRDefault="00B92CBA" w:rsidP="0001355E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91</w:t>
            </w:r>
          </w:p>
        </w:tc>
      </w:tr>
      <w:tr w:rsidR="00B92CBA" w:rsidRPr="00C80899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0,9</w:t>
            </w:r>
            <w:r w:rsidRPr="00636320">
              <w:rPr>
                <w:color w:val="000000" w:themeColor="text1"/>
                <w:lang w:val="ru-RU"/>
              </w:rPr>
              <w:t>5</w:t>
            </w:r>
          </w:p>
        </w:tc>
      </w:tr>
      <w:tr w:rsidR="00B92CBA" w:rsidRPr="00C80899" w:rsidTr="0020472C">
        <w:tc>
          <w:tcPr>
            <w:tcW w:w="6237" w:type="dxa"/>
            <w:vMerge w:val="restart"/>
            <w:vAlign w:val="center"/>
          </w:tcPr>
          <w:p w:rsidR="00B92CBA" w:rsidRPr="00C80899" w:rsidRDefault="00B92CBA" w:rsidP="00B92CBA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Նավթաբենզինային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գլանատակառներ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բունկերային</w:t>
            </w:r>
            <w:r w:rsidRPr="00C8089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71</w:t>
            </w:r>
          </w:p>
        </w:tc>
      </w:tr>
      <w:tr w:rsidR="00B92CBA" w:rsidRPr="00C80899" w:rsidTr="0020472C">
        <w:tc>
          <w:tcPr>
            <w:tcW w:w="6237" w:type="dxa"/>
            <w:vMerge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0,7</w:t>
            </w:r>
            <w:r w:rsidR="0001355E">
              <w:rPr>
                <w:color w:val="000000" w:themeColor="text1"/>
                <w:lang w:val="ru-RU"/>
              </w:rPr>
              <w:t>44</w:t>
            </w:r>
          </w:p>
        </w:tc>
      </w:tr>
    </w:tbl>
    <w:p w:rsidR="006D2AB4" w:rsidRPr="00C80899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Pr="00C80899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B92CBA" w:rsidRDefault="00EB1BB3" w:rsidP="00B16427">
      <w:pPr>
        <w:pStyle w:val="aa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  </w:t>
      </w:r>
    </w:p>
    <w:p w:rsidR="00EB1BB3" w:rsidRPr="00B92CBA" w:rsidRDefault="00EB1BB3" w:rsidP="00783F35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B92CBA">
        <w:rPr>
          <w:rFonts w:ascii="Sylfaen" w:hAnsi="Sylfaen" w:cs="Sylfaen"/>
          <w:sz w:val="28"/>
          <w:szCs w:val="28"/>
          <w:lang w:val="hy-AM"/>
        </w:rPr>
        <w:t>Աղյուսակ</w:t>
      </w:r>
      <w:r w:rsidRPr="00B92CBA">
        <w:rPr>
          <w:rFonts w:ascii="Sylfaen" w:hAnsi="Sylfaen"/>
          <w:sz w:val="28"/>
          <w:szCs w:val="28"/>
          <w:lang w:val="hy-AM"/>
        </w:rPr>
        <w:t xml:space="preserve"> </w:t>
      </w:r>
      <w:r w:rsidRPr="00B92CBA">
        <w:rPr>
          <w:rFonts w:ascii="Sylfaen" w:hAnsi="Sylfaen"/>
          <w:sz w:val="28"/>
          <w:szCs w:val="28"/>
          <w:lang w:val="ru-RU"/>
        </w:rPr>
        <w:t>2</w:t>
      </w:r>
      <w:r w:rsidR="00264DFF" w:rsidRPr="00B92CBA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605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C2EA1" w:rsidTr="00783F35">
        <w:trPr>
          <w:trHeight w:val="329"/>
        </w:trPr>
        <w:tc>
          <w:tcPr>
            <w:tcW w:w="2972" w:type="dxa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B92CBA" w:rsidRPr="00CC2EA1" w:rsidTr="00783F35">
        <w:tc>
          <w:tcPr>
            <w:tcW w:w="2972" w:type="dxa"/>
            <w:vMerge w:val="restart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B92CBA" w:rsidRPr="0001355E" w:rsidRDefault="00B92CBA" w:rsidP="0001355E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 w:rsidR="0001355E">
              <w:rPr>
                <w:color w:val="000000" w:themeColor="text1"/>
              </w:rPr>
              <w:t>4</w:t>
            </w:r>
          </w:p>
        </w:tc>
      </w:tr>
      <w:tr w:rsidR="00B92CBA" w:rsidRPr="00CC2EA1" w:rsidTr="00783F35">
        <w:tc>
          <w:tcPr>
            <w:tcW w:w="2972" w:type="dxa"/>
            <w:vMerge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B92CBA" w:rsidRPr="0001355E" w:rsidRDefault="00B92CBA" w:rsidP="0001355E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</w:t>
            </w:r>
            <w:r w:rsidR="0001355E">
              <w:rPr>
                <w:color w:val="000000" w:themeColor="text1"/>
              </w:rPr>
              <w:t>013</w:t>
            </w:r>
          </w:p>
        </w:tc>
      </w:tr>
      <w:tr w:rsidR="00B92CBA" w:rsidRPr="00CC2EA1" w:rsidTr="00783F35">
        <w:tc>
          <w:tcPr>
            <w:tcW w:w="2972" w:type="dxa"/>
            <w:vMerge w:val="restart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B92CBA" w:rsidRPr="00636320" w:rsidRDefault="00B92CBA" w:rsidP="00B92CBA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0,960</w:t>
            </w:r>
          </w:p>
        </w:tc>
      </w:tr>
      <w:tr w:rsidR="00B92CBA" w:rsidRPr="00CC2EA1" w:rsidTr="00783F35">
        <w:tc>
          <w:tcPr>
            <w:tcW w:w="2972" w:type="dxa"/>
            <w:vMerge/>
          </w:tcPr>
          <w:p w:rsidR="00B92CBA" w:rsidRPr="00CC2EA1" w:rsidRDefault="00B92CBA" w:rsidP="00B92CBA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B92CBA" w:rsidRPr="00636320" w:rsidRDefault="00B92CBA" w:rsidP="00B92CBA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0,965</w:t>
            </w:r>
          </w:p>
        </w:tc>
      </w:tr>
    </w:tbl>
    <w:p w:rsidR="00EB1BB3" w:rsidRPr="00C80899" w:rsidRDefault="00EB1BB3" w:rsidP="004320AA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B92CBA">
        <w:rPr>
          <w:rFonts w:ascii="Sylfaen" w:hAnsi="Sylfaen"/>
          <w:color w:val="000000" w:themeColor="text1"/>
          <w:sz w:val="28"/>
          <w:szCs w:val="28"/>
          <w:lang w:val="hy-AM"/>
        </w:rPr>
        <w:t>կկիրառվի 0,</w:t>
      </w:r>
      <w:r w:rsidR="00B92CBA" w:rsidRPr="00B92CBA">
        <w:rPr>
          <w:rFonts w:ascii="Sylfaen" w:hAnsi="Sylfaen"/>
          <w:color w:val="000000" w:themeColor="text1"/>
          <w:sz w:val="28"/>
          <w:szCs w:val="28"/>
          <w:lang w:val="hy-AM"/>
        </w:rPr>
        <w:t>49</w:t>
      </w:r>
      <w:r w:rsidRPr="00B92CBA">
        <w:rPr>
          <w:rFonts w:ascii="Sylfaen" w:hAnsi="Sylfaen"/>
          <w:color w:val="000000" w:themeColor="text1"/>
          <w:sz w:val="28"/>
          <w:szCs w:val="28"/>
          <w:lang w:val="hy-AM"/>
        </w:rPr>
        <w:t xml:space="preserve"> գործակիցը </w:t>
      </w:r>
      <w:r w:rsidRPr="00C80899">
        <w:rPr>
          <w:rFonts w:ascii="Sylfaen" w:hAnsi="Sylfaen"/>
          <w:sz w:val="28"/>
          <w:szCs w:val="28"/>
          <w:lang w:val="hy-AM"/>
        </w:rPr>
        <w:t>(բացառությամբ 20</w:t>
      </w:r>
      <w:r w:rsidR="00925B51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 w:rsidRPr="00C80899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C80899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C80899">
        <w:rPr>
          <w:rFonts w:ascii="Sylfaen" w:hAnsi="Sylfaen"/>
          <w:sz w:val="28"/>
          <w:szCs w:val="28"/>
          <w:lang w:val="hy-AM"/>
        </w:rPr>
        <w:softHyphen/>
        <w:t>դրա</w:t>
      </w:r>
      <w:r w:rsidRPr="00C8089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</w:t>
      </w:r>
      <w:r w:rsidR="008B5306" w:rsidRPr="00C80899">
        <w:rPr>
          <w:rFonts w:ascii="Sylfaen" w:hAnsi="Sylfaen"/>
          <w:sz w:val="28"/>
          <w:szCs w:val="28"/>
          <w:lang w:val="hy-AM"/>
        </w:rPr>
        <w:t>ի</w:t>
      </w:r>
      <w:r w:rsidRPr="00C80899">
        <w:rPr>
          <w:rFonts w:ascii="Sylfaen" w:hAnsi="Sylfaen"/>
          <w:sz w:val="28"/>
          <w:szCs w:val="28"/>
          <w:lang w:val="hy-AM"/>
        </w:rPr>
        <w:t>:</w:t>
      </w:r>
    </w:p>
    <w:p w:rsidR="00215D7F" w:rsidRPr="00C80899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1»-ին լրացուցիչ կկիրառվի 0,8 գործակիցը: </w:t>
      </w:r>
    </w:p>
    <w:sectPr w:rsidR="00215D7F" w:rsidRPr="00C80899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116" w:rsidRDefault="00853116">
      <w:r>
        <w:separator/>
      </w:r>
    </w:p>
  </w:endnote>
  <w:endnote w:type="continuationSeparator" w:id="0">
    <w:p w:rsidR="00853116" w:rsidRDefault="0085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116" w:rsidRDefault="00853116">
      <w:r>
        <w:separator/>
      </w:r>
    </w:p>
  </w:footnote>
  <w:footnote w:type="continuationSeparator" w:id="0">
    <w:p w:rsidR="00853116" w:rsidRDefault="00853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355E"/>
    <w:rsid w:val="0001505A"/>
    <w:rsid w:val="00017F1D"/>
    <w:rsid w:val="00023974"/>
    <w:rsid w:val="00027ADC"/>
    <w:rsid w:val="00033755"/>
    <w:rsid w:val="00042CF4"/>
    <w:rsid w:val="000526F1"/>
    <w:rsid w:val="00054DCC"/>
    <w:rsid w:val="000552E2"/>
    <w:rsid w:val="0005566B"/>
    <w:rsid w:val="0006192D"/>
    <w:rsid w:val="00067B13"/>
    <w:rsid w:val="00074CCF"/>
    <w:rsid w:val="00075B90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42864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C1DF4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B558D"/>
    <w:rsid w:val="002C1AFC"/>
    <w:rsid w:val="002C5B7E"/>
    <w:rsid w:val="002D0C13"/>
    <w:rsid w:val="002D7DB0"/>
    <w:rsid w:val="002E160E"/>
    <w:rsid w:val="002E2C0A"/>
    <w:rsid w:val="002E518D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6766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320AA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0C57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53116"/>
    <w:rsid w:val="00862BFE"/>
    <w:rsid w:val="0086590C"/>
    <w:rsid w:val="00872E89"/>
    <w:rsid w:val="008819ED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8F3D32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20B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730E7"/>
    <w:rsid w:val="00C80899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76510"/>
    <w:rsid w:val="00D90DD8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B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F7D71-6600-4CDD-9FA4-B1630235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Сергиевна Атоян</cp:lastModifiedBy>
  <cp:revision>4</cp:revision>
  <cp:lastPrinted>2021-03-15T08:39:00Z</cp:lastPrinted>
  <dcterms:created xsi:type="dcterms:W3CDTF">2021-03-15T05:37:00Z</dcterms:created>
  <dcterms:modified xsi:type="dcterms:W3CDTF">2021-03-15T08:41:00Z</dcterms:modified>
</cp:coreProperties>
</file>