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FCF" w:rsidRDefault="00FC7B49">
      <w:pPr>
        <w:spacing w:before="4819"/>
        <w:jc w:val="center"/>
        <w:rPr>
          <w:b/>
          <w:bCs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kern w:val="0"/>
          <w:sz w:val="28"/>
          <w:szCs w:val="28"/>
        </w:rPr>
        <w:t>О внесении изменений в приказ ФАС России от 10 декабря 2015 г. № 1226/15 «Об индексации ставок тарифов, сборов и платы за перевозку грузов</w:t>
      </w:r>
      <w:r>
        <w:rPr>
          <w:b/>
          <w:bCs/>
          <w:color w:val="000000"/>
          <w:kern w:val="0"/>
          <w:sz w:val="28"/>
          <w:szCs w:val="28"/>
        </w:rPr>
        <w:br/>
        <w:t>и услуги по использованию инфраструктуры при перевозках грузов, выполняемые (оказываемые) ОАО «Российские железные дороги», Методические указания по вопросу государственного регулирования тарифов на услуги железнодорожного транспорта по перевозке грузов             и услуги по использованию железнодорожной инфраструктуры общего пользования при грузовых перевозках, утвержденные приказом                ФСТ России от 30 августа 2013 г. № 166-т/1, приказ ФАС России                     от 26 мая 2022 г. № 408/22 «О внесении изменений в приказ ФАС России        от 10 декабря 2015 г. № 1226/15 и о неприменении отдельных коэффициентов на экспортные перевозки угля каменного, установленных        постановлением ФЭК России   от 17 июня 2003 г. № 47-т/5»</w:t>
      </w:r>
    </w:p>
    <w:p w:rsidR="00A36FCF" w:rsidRDefault="00A36FCF">
      <w:pPr>
        <w:jc w:val="center"/>
        <w:rPr>
          <w:b/>
          <w:bCs/>
          <w:color w:val="000000"/>
          <w:kern w:val="0"/>
          <w:sz w:val="28"/>
          <w:szCs w:val="28"/>
        </w:rPr>
      </w:pPr>
    </w:p>
    <w:p w:rsidR="00A36FCF" w:rsidRDefault="00FC7B49">
      <w:pPr>
        <w:spacing w:line="360" w:lineRule="auto"/>
        <w:jc w:val="both"/>
      </w:pPr>
      <w:r>
        <w:rPr>
          <w:b/>
          <w:bCs/>
          <w:color w:val="000000"/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абзацем пятым пункта 1 статьи 4 и абзацем вторым статьи 6 Федерального закона от 17 августа 1995 г. № 147-ФЗ</w:t>
      </w:r>
      <w:r>
        <w:br/>
      </w:r>
      <w:r>
        <w:rPr>
          <w:sz w:val="28"/>
          <w:szCs w:val="28"/>
        </w:rPr>
        <w:t>«О естественных монополиях», пунктами 8, 9, 10 и 19 Положения</w:t>
      </w:r>
      <w:r>
        <w:br/>
      </w:r>
      <w:r>
        <w:rPr>
          <w:sz w:val="28"/>
          <w:szCs w:val="28"/>
        </w:rPr>
        <w:t>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</w:t>
      </w:r>
      <w:r>
        <w:rPr>
          <w:sz w:val="28"/>
          <w:szCs w:val="28"/>
        </w:rPr>
        <w:br/>
        <w:t xml:space="preserve">от 5 августа 2009 г. № 643, пунктом 3(1) постановления Правительства Российской Федерации от 30 июня 2004 г. № 331 «Об утверждении Положения о Федеральной антимонопольной службе», подпунктами 5.2.9(22).6, 5.3.21.21, 5.3.21.22 пункта 5 </w:t>
      </w:r>
      <w:r>
        <w:rPr>
          <w:sz w:val="28"/>
          <w:szCs w:val="28"/>
        </w:rPr>
        <w:lastRenderedPageBreak/>
        <w:t>Положения о Федеральной антимонопольной службе, утвержденного постановлением  Правительства Российской Федерации  от 30 июня 2004 г. № 331,</w:t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1. Внести изменения в приказ ФАС России от 10 декабря 2015 г.</w:t>
      </w:r>
      <w:r>
        <w:br/>
      </w:r>
      <w:r>
        <w:rPr>
          <w:sz w:val="28"/>
          <w:szCs w:val="28"/>
        </w:rPr>
        <w:t>№ 1226/15 «Об индексации ставок тарифов, сборов и платы за перевозку грузов</w:t>
      </w:r>
      <w:r>
        <w:rPr>
          <w:sz w:val="28"/>
          <w:szCs w:val="28"/>
        </w:rPr>
        <w:br/>
        <w:t>и услуги по использованию инфраструктуры при перевозках грузов, выполняемые (оказываемые) ОАО «Российские железные дороги» (зарегистрирован Минюстом России 22 декабря 2015 г., регистрационный № 40184) с изменениями, внесенными приказами ФАС России от 4 мая 2016 г. № 564/16 (зарегистрирован Минюстом России 24 мая 2016 г., регистрационный № 42237); от 9 декабря 2016 г. № 1747/16 (зарегистрирован Минюстом России 22 декабря 2016 г., регистрационный № 44865); от 23 декабря 2016 г. № 1834/16 (зарегистрирован Минюстом России 28 декабря 2016 г., регистрационный № 45010); от 26 декабря 2016 г. № 1841/16 (зарегистрирован Минюстом России 29 декабря 2016 г., регистрационный № 45059); от 18 декабря 2017 г. № 1687/17 (зарегистрирован Минюстом России 25 декабря 2017 г., регистрационный № 49415); от 26 декабря 2017 г. № 1780/17 (зарегистрирован Минюстом России 18 января 2018 г., регистрационный № 49681); от 13 июля 2018 г. № 997/18 (зарегистрирован Минюстом России 6 августа 2018 г., регистрационный № 51791); от 10 сентября 2018 г. № 1273/18 (зарегистрирован Минюстом России 20 ноября 2018 г., регистрационный № 52733); от 30 октября 2018 г. № 1482/18 (зарегистрирован Минюстом России 26 ноября 2018 г., регистрационный № 52775); от 26 ноября 2019 г. № 1557/19 (зарегистрирован Минюстом России 12 декабря 2019 г., регистрационный № 56787); от 12 мая 2020 г. № 457/20 (зарегистрирован Минюстом России 2 июня 2020 г., регистрационный № 58556); от 13 декабря 2021 г. № 1402/21 (зарегистрирован Минюстом России 21 декабря 2021 г., регистрационный  №  66470);  от  29  декабря  2021  г. № 1561/21 (зарегистрирован</w:t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Минюстом России 30 декабря 2021 г., регистрационный № 66775); от 26 мая</w:t>
      </w:r>
      <w:r>
        <w:rPr>
          <w:sz w:val="28"/>
          <w:szCs w:val="28"/>
        </w:rPr>
        <w:br/>
      </w:r>
    </w:p>
    <w:p w:rsidR="00A36FCF" w:rsidRDefault="00FC7B49">
      <w:pPr>
        <w:pStyle w:val="ConsPlusNormal"/>
        <w:spacing w:line="360" w:lineRule="auto"/>
        <w:jc w:val="both"/>
      </w:pPr>
      <w:r>
        <w:rPr>
          <w:sz w:val="28"/>
          <w:szCs w:val="28"/>
        </w:rPr>
        <w:lastRenderedPageBreak/>
        <w:t xml:space="preserve">2022 г. № 408/22 (зарегистрирован Минюстом России 31 мая 2022 г., регистрационный № 68643), от 11 ноября 2022 г. № 797/22 (зарегистрирован Минюстом России 24 ноября 2022 г., регистрационный № 71103) согласно </w:t>
      </w:r>
      <w:hyperlink w:anchor="Par52" w:tgtFrame="ИЗМЕНЕНИЯ,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к настоящему приказу.</w:t>
      </w: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2. Внести в Методические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перевозках, утвержденные приказом ФСТ России</w:t>
      </w:r>
      <w:r>
        <w:br/>
      </w:r>
      <w:r>
        <w:rPr>
          <w:sz w:val="28"/>
          <w:szCs w:val="28"/>
        </w:rPr>
        <w:t>от 30 августа 2013 г. № 166-т/1 (зарегистрирован Минюстом России 14 ноября 2013 г., регистрационный № 30374) с изменениями, внесенными приказами</w:t>
      </w:r>
      <w:r>
        <w:rPr>
          <w:sz w:val="28"/>
          <w:szCs w:val="28"/>
        </w:rPr>
        <w:br/>
        <w:t>ФАС России от 23 декабря 2016 г. № 1834/16 (зарегистрирован Минюстом России 28 декабря 2016 г., регистрационный № 45010); от 26 декабря 2017 г.</w:t>
      </w:r>
      <w:r>
        <w:br/>
      </w:r>
      <w:r>
        <w:rPr>
          <w:sz w:val="28"/>
          <w:szCs w:val="28"/>
        </w:rPr>
        <w:t>№ 1780/17 (зарегистрирован Минюстом России 18 января 2018 г., регистрационный № 49681); от 13 июля 2018 г. № 997/18 (зарегистрирован Минюстом России 6 августа 2018 г., регистрационный № 51791); от 13 декабря 2021 г. № 1402/21 (зарегистрирован Минюстом России 21 декабря 2021 г., регистрационный № 66470), следующие изменения:</w:t>
      </w: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2.1. В абзацах втором и третьем пункта 51 слова «за исключением</w:t>
      </w:r>
      <w:r>
        <w:br/>
      </w:r>
      <w:r>
        <w:rPr>
          <w:sz w:val="28"/>
          <w:szCs w:val="28"/>
        </w:rPr>
        <w:t>2022 и 2023 годов» заменить словами «за исключением 2022 - 2024 годов».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В абзаце двенадцатом пункта 51 слова «На 2022 и 2023 годы» заменить словами «На 2022 - 2024 годы».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rFonts w:eastAsia="Times New Roman"/>
        </w:rPr>
      </w:pPr>
      <w:r>
        <w:rPr>
          <w:sz w:val="28"/>
          <w:szCs w:val="28"/>
        </w:rPr>
        <w:t>2.3. Пункт 52 изложить в следующей редакции: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«52. В случае, если решениями Правительства Российской Федерации</w:t>
      </w:r>
      <w:r>
        <w:rPr>
          <w:sz w:val="28"/>
          <w:szCs w:val="28"/>
        </w:rPr>
        <w:br/>
        <w:t>на 2017 год установлено введение дополнительной целевой надбавки</w:t>
      </w:r>
      <w:r>
        <w:rPr>
          <w:sz w:val="28"/>
          <w:szCs w:val="28"/>
        </w:rPr>
        <w:br/>
        <w:t xml:space="preserve">на финансирование мероприятий по капитальному ремонту инфраструктуры железнодорожного транспорта общего пользования путем дополнительной индексации тарифов, сборов, платы, соответствующее решение в установленном Правительством   Российской   Федерации   размере   на   2017   год    принимается </w:t>
      </w: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регулирующим органом в дополнение к индексации, принятой с учетом пункта 51 настоящих Методических указаний.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решениями Правительства Российской Федерации</w:t>
      </w:r>
      <w:r>
        <w:rPr>
          <w:sz w:val="28"/>
          <w:szCs w:val="28"/>
        </w:rPr>
        <w:br/>
        <w:t>на 2018 год установлено введение дополнительной целевой надбавки</w:t>
      </w:r>
      <w:r>
        <w:rPr>
          <w:sz w:val="28"/>
          <w:szCs w:val="28"/>
        </w:rPr>
        <w:br/>
        <w:t>на финансирование мероприятий по капитальному ремонту инфраструктуры железнодорожного транспорта общего пользования и дополнительной целевой надбавки на компенсацию расходов, связанных с корректировкой налогового законодательства, путем дополнительной индексации тарифов, сборов, платы, соответствующее решение в установленном Правительством Российской Федерации размере на 2018 год принимается регулирующим органом</w:t>
      </w:r>
      <w:r>
        <w:rPr>
          <w:sz w:val="28"/>
          <w:szCs w:val="28"/>
        </w:rPr>
        <w:br/>
        <w:t>в дополнение к индексации, принятой с учетом пункта 51 настоящих Методических указаний.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целевая надбавка (в виде коэффициента дополнительной индексации тарифов) к тарифам, сборам и плате в отношении перевозки грузов</w:t>
      </w:r>
      <w:r>
        <w:rPr>
          <w:sz w:val="28"/>
          <w:szCs w:val="28"/>
        </w:rPr>
        <w:br/>
        <w:t>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капитальному ремонту инфраструктуры железнодорожного транспорта общего пользования, и (или) по поддержанию технического состояния и обновлению локомотивного парка, определяется органом регулирования</w:t>
      </w:r>
      <w:r>
        <w:rPr>
          <w:sz w:val="28"/>
          <w:szCs w:val="28"/>
        </w:rPr>
        <w:br/>
        <w:t>на период 2019 - 2025 годов.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целевая надбавка (в виде коэффициента дополнительной индексации тарифов) к тарифам, сборам и плате в отношении перевозки грузов</w:t>
      </w:r>
      <w:r>
        <w:rPr>
          <w:sz w:val="28"/>
          <w:szCs w:val="28"/>
        </w:rPr>
        <w:br/>
        <w:t>и оказания услуг по использованию инфраструктуры железнодорожного транспорта общего пользования при перевозках грузов по компенсации расходов, связанных с корректировкой налогового законодательства Российской Федерации, определяется органом регулирования на период 2019 - 2025 годов.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целевая надбавка (в виде коэффициента дополнительной индексации тарифов) к тарифам, сборам и плате в отношении перевозки грузов</w:t>
      </w:r>
      <w:r>
        <w:rPr>
          <w:sz w:val="28"/>
          <w:szCs w:val="28"/>
        </w:rPr>
        <w:br/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оказания услуг по использованию инфраструктуры железнодорожного </w:t>
      </w:r>
      <w:proofErr w:type="gramStart"/>
      <w:r>
        <w:rPr>
          <w:sz w:val="28"/>
          <w:szCs w:val="28"/>
        </w:rPr>
        <w:t>транспорта  общего</w:t>
      </w:r>
      <w:proofErr w:type="gramEnd"/>
      <w:r>
        <w:rPr>
          <w:sz w:val="28"/>
          <w:szCs w:val="28"/>
        </w:rPr>
        <w:t xml:space="preserve">  пользования при перевозках грузов по компенсации расходов,  </w:t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связанных   с   </w:t>
      </w:r>
      <w:proofErr w:type="gramStart"/>
      <w:r>
        <w:rPr>
          <w:sz w:val="28"/>
          <w:szCs w:val="28"/>
        </w:rPr>
        <w:t>обеспечением  транспортной</w:t>
      </w:r>
      <w:proofErr w:type="gramEnd"/>
      <w:r>
        <w:rPr>
          <w:sz w:val="28"/>
          <w:szCs w:val="28"/>
        </w:rPr>
        <w:t xml:space="preserve">  безопасности,  определяется  органом </w:t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регулирования на период с 1 декабря 2023 года по 31 декабря 2025 года.</w:t>
      </w:r>
    </w:p>
    <w:p w:rsidR="00A36FCF" w:rsidRDefault="00FC7B49">
      <w:pPr>
        <w:pStyle w:val="ConsPlusNormal"/>
        <w:spacing w:line="360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Субъект регулирования обеспечивает использование средств по целевому назначению, в том числе за счет внедрения системы внутрикорпоративного заказа услуг между соответствующими подразделениями субъекта регулирования, регламентированной организационно-распорядительными документами субъекта регулирования, а также системы управленческого учета по центрам финансовой ответственности для расчета необходимой валовой выручки.».</w:t>
      </w: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3. В пункте 2 приказа ФАС России от 26 мая 2022 г. № 408/22 «О внесении изменений в приказ ФАС России от 10 декабря 2015 г. № 1226/15</w:t>
      </w:r>
      <w:r>
        <w:br/>
      </w:r>
      <w:r>
        <w:rPr>
          <w:sz w:val="28"/>
          <w:szCs w:val="28"/>
        </w:rPr>
        <w:t>и о неприменении отдельных коэффициентов на экспортные перевозки угля каменного, установленных постановлением ФЭК России от 17 июня 2003 г.</w:t>
      </w:r>
      <w:r>
        <w:br/>
      </w:r>
      <w:r>
        <w:rPr>
          <w:sz w:val="28"/>
          <w:szCs w:val="28"/>
        </w:rPr>
        <w:t>№ 47-т/5» (зарегистрирован Минюстом России 31 мая 2022 г., регистрационный № 68643) с изменениями, внесенными приказом ФАС России от 19 августа</w:t>
      </w:r>
      <w:r>
        <w:br/>
      </w:r>
      <w:r>
        <w:rPr>
          <w:sz w:val="28"/>
          <w:szCs w:val="28"/>
        </w:rPr>
        <w:t>2022 г. № 597/22 (зарегистрирован Минюстом России 26 августа 2022 г., регистрационный № 69797), от 11 ноября 2022 г. № 797/22 (зарегистрирован Минюстом России 24 ноября 2022 г., регистрационный № 71103), слова</w:t>
      </w:r>
      <w:r>
        <w:rPr>
          <w:sz w:val="28"/>
          <w:szCs w:val="28"/>
        </w:rPr>
        <w:br/>
        <w:t>«до 31 декабря 2023 года» заменить на  «до 31 декабря 2024 года».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Настоящий приказ вступает в силу с 1 декабря 2023 года.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приказа оставляю за собой.</w:t>
      </w: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BD1AD6">
      <w:hyperlink w:anchor="Par450" w:tgtFrame="ДОПОЛНИТЕЛЬНЫЕ ИНДЕКСЫ"/>
    </w:p>
    <w:tbl>
      <w:tblPr>
        <w:tblW w:w="9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5"/>
        <w:gridCol w:w="1744"/>
        <w:gridCol w:w="4389"/>
      </w:tblGrid>
      <w:tr w:rsidR="00A36FCF">
        <w:tc>
          <w:tcPr>
            <w:tcW w:w="3805" w:type="dxa"/>
          </w:tcPr>
          <w:p w:rsidR="00A36FCF" w:rsidRDefault="00BD1AD6">
            <w:pPr>
              <w:rPr>
                <w:sz w:val="28"/>
                <w:szCs w:val="28"/>
              </w:rPr>
            </w:pPr>
            <w:hyperlink w:anchor="Par450" w:tgtFrame="ДОПОЛНИТЕЛЬНЫЕ ИНДЕКСЫ">
              <w:r w:rsidR="00212919">
                <w:rPr>
                  <w:sz w:val="28"/>
                  <w:szCs w:val="28"/>
                </w:rPr>
                <w:fldChar w:fldCharType="begin"/>
              </w:r>
              <w:r w:rsidR="00FC7B49">
                <w:rPr>
                  <w:sz w:val="28"/>
                  <w:szCs w:val="28"/>
                </w:rPr>
                <w:instrText>DOCVARIABLE PredsedatelDolj</w:instrText>
              </w:r>
              <w:r w:rsidR="00212919">
                <w:rPr>
                  <w:sz w:val="28"/>
                  <w:szCs w:val="28"/>
                </w:rPr>
                <w:fldChar w:fldCharType="separate"/>
              </w:r>
              <w:r w:rsidR="00FC7B49">
                <w:rPr>
                  <w:sz w:val="28"/>
                  <w:szCs w:val="28"/>
                </w:rPr>
                <w:t>Руководитель</w:t>
              </w:r>
              <w:r w:rsidR="00212919">
                <w:rPr>
                  <w:sz w:val="28"/>
                  <w:szCs w:val="28"/>
                </w:rPr>
                <w:fldChar w:fldCharType="end"/>
              </w:r>
            </w:hyperlink>
          </w:p>
        </w:tc>
        <w:tc>
          <w:tcPr>
            <w:tcW w:w="1744" w:type="dxa"/>
          </w:tcPr>
          <w:p w:rsidR="00A36FCF" w:rsidRDefault="00BD1AD6">
            <w:pPr>
              <w:jc w:val="right"/>
            </w:pPr>
            <w:hyperlink w:anchor="Par450" w:tgtFrame="ДОПОЛНИТЕЛЬНЫЕ ИНДЕКСЫ"/>
          </w:p>
          <w:p w:rsidR="00A36FCF" w:rsidRDefault="00BD1AD6">
            <w:pPr>
              <w:jc w:val="right"/>
            </w:pPr>
            <w:hyperlink w:anchor="Par450" w:tgtFrame="ДОПОЛНИТЕЛЬНЫЕ ИНДЕКСЫ"/>
          </w:p>
        </w:tc>
        <w:tc>
          <w:tcPr>
            <w:tcW w:w="4389" w:type="dxa"/>
          </w:tcPr>
          <w:p w:rsidR="00A36FCF" w:rsidRDefault="00BD1AD6">
            <w:pPr>
              <w:jc w:val="right"/>
              <w:rPr>
                <w:sz w:val="28"/>
                <w:szCs w:val="28"/>
              </w:rPr>
            </w:pPr>
            <w:hyperlink w:anchor="Par450" w:tgtFrame="ДОПОЛНИТЕЛЬНЫЕ ИНДЕКСЫ">
              <w:r w:rsidR="00212919">
                <w:rPr>
                  <w:sz w:val="28"/>
                  <w:szCs w:val="28"/>
                </w:rPr>
                <w:fldChar w:fldCharType="begin"/>
              </w:r>
              <w:r w:rsidR="00FC7B49">
                <w:rPr>
                  <w:sz w:val="28"/>
                  <w:szCs w:val="28"/>
                </w:rPr>
                <w:instrText>DOCVARIABLE PredsedatelIOF</w:instrText>
              </w:r>
              <w:r w:rsidR="00212919">
                <w:rPr>
                  <w:sz w:val="28"/>
                  <w:szCs w:val="28"/>
                </w:rPr>
                <w:fldChar w:fldCharType="separate"/>
              </w:r>
              <w:r w:rsidR="00FC7B49">
                <w:rPr>
                  <w:sz w:val="28"/>
                  <w:szCs w:val="28"/>
                </w:rPr>
                <w:t>М.А. Шаскольский</w:t>
              </w:r>
              <w:r w:rsidR="00212919">
                <w:rPr>
                  <w:sz w:val="28"/>
                  <w:szCs w:val="28"/>
                </w:rPr>
                <w:fldChar w:fldCharType="end"/>
              </w:r>
            </w:hyperlink>
          </w:p>
        </w:tc>
      </w:tr>
      <w:tr w:rsidR="00A36FCF">
        <w:tc>
          <w:tcPr>
            <w:tcW w:w="3805" w:type="dxa"/>
          </w:tcPr>
          <w:p w:rsidR="00A36FCF" w:rsidRDefault="00BD1AD6">
            <w:pPr>
              <w:pStyle w:val="ad"/>
            </w:pPr>
            <w:hyperlink w:anchor="Par450" w:tgtFrame="ДОПОЛНИТЕЛЬНЫЕ ИНДЕКСЫ"/>
          </w:p>
        </w:tc>
        <w:tc>
          <w:tcPr>
            <w:tcW w:w="1744" w:type="dxa"/>
          </w:tcPr>
          <w:p w:rsidR="00A36FCF" w:rsidRDefault="00BD1AD6">
            <w:pPr>
              <w:pStyle w:val="ad"/>
            </w:pPr>
            <w:hyperlink w:anchor="Par450" w:tgtFrame="ДОПОЛНИТЕЛЬНЫЕ ИНДЕКСЫ"/>
          </w:p>
        </w:tc>
        <w:tc>
          <w:tcPr>
            <w:tcW w:w="4389" w:type="dxa"/>
          </w:tcPr>
          <w:p w:rsidR="00A36FCF" w:rsidRDefault="00BD1AD6">
            <w:pPr>
              <w:pStyle w:val="ad"/>
            </w:pPr>
            <w:hyperlink w:anchor="Par450" w:tgtFrame="ДОПОЛНИТЕЛЬНЫЕ ИНДЕКСЫ"/>
          </w:p>
        </w:tc>
      </w:tr>
    </w:tbl>
    <w:p w:rsidR="00A36FCF" w:rsidRDefault="00BD1AD6">
      <w:pPr>
        <w:jc w:val="both"/>
      </w:pPr>
      <w:hyperlink w:anchor="Par450" w:tgtFrame="ДОПОЛНИТЕЛЬНЫЕ ИНДЕКСЫ"/>
      <w:bookmarkStart w:id="1" w:name="Par52"/>
      <w:bookmarkEnd w:id="1"/>
    </w:p>
    <w:p w:rsidR="00A36FCF" w:rsidRDefault="00A36FCF">
      <w:pPr>
        <w:pStyle w:val="ConsPlusNormal"/>
        <w:jc w:val="right"/>
        <w:outlineLvl w:val="0"/>
        <w:rPr>
          <w:sz w:val="28"/>
          <w:szCs w:val="28"/>
        </w:rPr>
      </w:pPr>
    </w:p>
    <w:p w:rsidR="00A36FCF" w:rsidRDefault="00A36FCF">
      <w:pPr>
        <w:pStyle w:val="ConsPlusNormal"/>
        <w:jc w:val="right"/>
        <w:outlineLvl w:val="0"/>
        <w:rPr>
          <w:sz w:val="28"/>
          <w:szCs w:val="28"/>
        </w:rPr>
      </w:pPr>
    </w:p>
    <w:p w:rsidR="00A36FCF" w:rsidRDefault="00FC7B49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Приложение</w:t>
      </w:r>
    </w:p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к приказу ФАС России</w:t>
      </w:r>
    </w:p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 __________ № ______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A36FCF">
      <w:pPr>
        <w:pStyle w:val="ConsPlusTitle"/>
        <w:jc w:val="center"/>
      </w:pP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вносимые в приказ ФАС России от 10 декабря 2015 г. № 1226/15 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индексации ставок тарифов, сборов и платы за перевозку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грузов и услуги по использованию инфраструктуры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перевозках грузов, выполняемые (оказываемые)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ОАО «Российские железные дороги»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Дополнить пунктом 1¹ следующего содержания: </w:t>
      </w: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 xml:space="preserve"> «1¹. Индексы, в том числе дополнительные целевые надбавки, установленные настоящим приказом для соответствующего периода регулирования, применяются путём последовательного умножения в случаях, если при указанных в настоящем </w:t>
      </w:r>
      <w:hyperlink w:anchor="Par450" w:tgtFrame="ДОПОЛНИТЕЛЬНЫЕ ИНДЕКСЫ">
        <w:r>
          <w:rPr>
            <w:sz w:val="28"/>
            <w:szCs w:val="28"/>
          </w:rPr>
          <w:t>приказе</w:t>
        </w:r>
      </w:hyperlink>
      <w:r>
        <w:rPr>
          <w:sz w:val="28"/>
          <w:szCs w:val="28"/>
        </w:rPr>
        <w:t xml:space="preserve"> условиях перевозок одновременно должны быть применены несколько индексов, в том числе, дополнительных целевых надбавок.».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 таблице «Индексы к базовым ставкам тарифов, сборов и платы, определяемым по правилам раздела 2 части I Прейскуранта № 10-01» приложения № 1 в графе «Индексы к ставкам Прейскуранта № 10-01» столбцы «2023 год», «2024 год», «2025 год» изложить в следующей редакции:</w:t>
      </w:r>
    </w:p>
    <w:p w:rsidR="00A36FCF" w:rsidRDefault="00FC7B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A36FCF" w:rsidRDefault="00A36FCF">
      <w:pPr>
        <w:pStyle w:val="ConsPlusNormal"/>
        <w:rPr>
          <w:sz w:val="28"/>
          <w:szCs w:val="28"/>
        </w:rPr>
      </w:pPr>
    </w:p>
    <w:tbl>
      <w:tblPr>
        <w:tblW w:w="4106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992"/>
        <w:gridCol w:w="992"/>
        <w:gridCol w:w="993"/>
      </w:tblGrid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01.01. по 30.11.)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6,2064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6,2064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6,5291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5,3901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5,7997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5,7997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6,1013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5,9524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5,9524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6,2619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5,6374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6,0658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6,0658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6,3812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5,3901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5,7997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5,7997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6,1013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5,0738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5,4594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5,4594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5,7433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4,7458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5,1065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5,1065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5,372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5,8775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6,3242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6,6531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5,1846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5,5786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5,8687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4,9495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5,3257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5,3257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5,6026</w:t>
            </w:r>
          </w:p>
        </w:tc>
      </w:tr>
      <w:tr w:rsidR="00A36FCF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3,0419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3,2731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3,2731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3,4433</w:t>
            </w:r>
          </w:p>
        </w:tc>
      </w:tr>
    </w:tbl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В таблице «Индексы к базовым ставкам тарифов, сборов и платы, определяемым по правилам раздела 4 части I Прейскуранта № 10-01» приложения № 2 в графе «Индексы к ставкам Прейскуранта № 10-01» столбцы «2023 год», «2024 год», «2025 год» изложить в следующей редакции:</w:t>
      </w:r>
    </w:p>
    <w:p w:rsidR="00A36FCF" w:rsidRDefault="00FC7B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A36FCF" w:rsidRDefault="00A36FCF">
      <w:pPr>
        <w:pStyle w:val="ConsPlusNormal"/>
        <w:rPr>
          <w:sz w:val="28"/>
          <w:szCs w:val="28"/>
        </w:rPr>
      </w:pPr>
    </w:p>
    <w:tbl>
      <w:tblPr>
        <w:tblW w:w="368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7"/>
        <w:gridCol w:w="993"/>
        <w:gridCol w:w="849"/>
        <w:gridCol w:w="852"/>
      </w:tblGrid>
      <w:tr w:rsidR="00A36FC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01.01. по 30.11.)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2,343</w:t>
            </w:r>
          </w:p>
        </w:tc>
      </w:tr>
    </w:tbl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36FCF" w:rsidRDefault="00A36FCF">
      <w:pPr>
        <w:pStyle w:val="ConsPlusNormal"/>
        <w:ind w:firstLine="540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таблице «Индексы к базовым ставкам Тарифного руководства № 2» приложения № 3 в графе «Индексы к ставкам Тарифного руководства № </w:t>
      </w:r>
      <w:proofErr w:type="gramStart"/>
      <w:r>
        <w:rPr>
          <w:sz w:val="28"/>
          <w:szCs w:val="28"/>
        </w:rPr>
        <w:t>2»  столбцы</w:t>
      </w:r>
      <w:proofErr w:type="gramEnd"/>
      <w:r>
        <w:rPr>
          <w:sz w:val="28"/>
          <w:szCs w:val="28"/>
        </w:rPr>
        <w:t xml:space="preserve"> «2023 год», «2024 год», «2025 год» изложить в следующей редакции:</w:t>
      </w: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368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7"/>
        <w:gridCol w:w="993"/>
        <w:gridCol w:w="849"/>
        <w:gridCol w:w="852"/>
      </w:tblGrid>
      <w:tr w:rsidR="00A36FC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01.01. по 30.11.)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6,535</w:t>
            </w:r>
          </w:p>
        </w:tc>
      </w:tr>
      <w:tr w:rsidR="00A36FC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6,535</w:t>
            </w:r>
          </w:p>
        </w:tc>
      </w:tr>
    </w:tbl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5. В таблице «Индексы к базовым ставкам сборов Тарифного руководства № 3» приложения № 4 в графе «Индексы к ставкам Тарифного руководства</w:t>
      </w:r>
      <w:r>
        <w:br/>
      </w:r>
      <w:r>
        <w:rPr>
          <w:sz w:val="28"/>
          <w:szCs w:val="28"/>
        </w:rPr>
        <w:t>№ 3» столбцы «2023 год», «2024 год», «2025 год» изложить в следующей редакции:</w:t>
      </w:r>
    </w:p>
    <w:p w:rsidR="00A36FCF" w:rsidRDefault="00FC7B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A36FCF" w:rsidRDefault="00A36FCF">
      <w:pPr>
        <w:pStyle w:val="ConsPlusNormal"/>
        <w:rPr>
          <w:sz w:val="28"/>
          <w:szCs w:val="28"/>
        </w:rPr>
      </w:pPr>
    </w:p>
    <w:tbl>
      <w:tblPr>
        <w:tblW w:w="3681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7"/>
        <w:gridCol w:w="993"/>
        <w:gridCol w:w="849"/>
        <w:gridCol w:w="852"/>
      </w:tblGrid>
      <w:tr w:rsidR="00A36FC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01.01. по 30.11.)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6,946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6,946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7,307</w:t>
            </w:r>
          </w:p>
        </w:tc>
      </w:tr>
    </w:tbl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6. В таблице «Индексы к базовым ставкам платы за нахождение</w:t>
      </w:r>
      <w:r>
        <w:br/>
      </w:r>
      <w:r>
        <w:rPr>
          <w:sz w:val="28"/>
          <w:szCs w:val="28"/>
        </w:rPr>
        <w:t>на железнодорожных путях общего пользования подвижного состава и правил</w:t>
      </w:r>
      <w:r>
        <w:br/>
      </w:r>
      <w:r>
        <w:rPr>
          <w:sz w:val="28"/>
          <w:szCs w:val="28"/>
        </w:rPr>
        <w:t>ее применения (Тарифное руководство)» приложения № 6 в графе «Индексы</w:t>
      </w:r>
      <w:r>
        <w:br/>
      </w:r>
      <w:r>
        <w:rPr>
          <w:sz w:val="28"/>
          <w:szCs w:val="28"/>
        </w:rPr>
        <w:t>к ставкам Тарифного руководства» столбцы «2023 год», «2024 год», «2025 год» изложить в следующей редакции:</w:t>
      </w: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FC7B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A36FCF" w:rsidRDefault="00A36FCF">
      <w:pPr>
        <w:pStyle w:val="ConsPlusNormal"/>
        <w:rPr>
          <w:sz w:val="28"/>
          <w:szCs w:val="28"/>
        </w:rPr>
      </w:pPr>
    </w:p>
    <w:tbl>
      <w:tblPr>
        <w:tblW w:w="3897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4"/>
        <w:gridCol w:w="974"/>
        <w:gridCol w:w="974"/>
        <w:gridCol w:w="975"/>
      </w:tblGrid>
      <w:tr w:rsidR="00A36FCF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01.01. по 30.11.)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1,787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1,787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1,88</w:t>
            </w:r>
          </w:p>
        </w:tc>
      </w:tr>
      <w:tr w:rsidR="00A36FCF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1,787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1,787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1,88</w:t>
            </w:r>
          </w:p>
        </w:tc>
      </w:tr>
    </w:tbl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 Наименование приложения № 7 изложить в следующей редакции:</w:t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ИНДЕКСЫ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ДЕЙСТВУЮЩИМ ТАРИФАМ, СБОРАМ И ПЛАТЕ,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ПРИМЕНЯЕМЫЕ В ЦЕЛЯХ ФОРМИРОВАНИЯ ДОПОЛНИТЕЛЬНЫХ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ЦЕЛЕВЫХ НАДБАВОК</w:t>
      </w:r>
    </w:p>
    <w:p w:rsidR="00A36FCF" w:rsidRDefault="00FC7B4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A36FCF" w:rsidRDefault="00A36FCF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EF42F6">
        <w:rPr>
          <w:sz w:val="28"/>
          <w:szCs w:val="28"/>
        </w:rPr>
        <w:t>После наименования приложения № 7 дополнить наименование</w:t>
      </w:r>
      <w:r w:rsidR="00A31A85">
        <w:rPr>
          <w:sz w:val="28"/>
          <w:szCs w:val="28"/>
        </w:rPr>
        <w:t>м</w:t>
      </w:r>
      <w:r w:rsidR="00EF42F6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</w:t>
      </w:r>
      <w:r w:rsidR="00743424" w:rsidRPr="00D317FD">
        <w:rPr>
          <w:sz w:val="28"/>
          <w:szCs w:val="28"/>
        </w:rPr>
        <w:t xml:space="preserve"> </w:t>
      </w:r>
      <w:r>
        <w:rPr>
          <w:sz w:val="28"/>
          <w:szCs w:val="28"/>
        </w:rPr>
        <w:t>в следующей редакции:</w:t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A36FCF" w:rsidRDefault="007434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C7B49">
        <w:rPr>
          <w:rFonts w:ascii="Times New Roman" w:hAnsi="Times New Roman" w:cs="Times New Roman"/>
          <w:sz w:val="28"/>
          <w:szCs w:val="28"/>
        </w:rPr>
        <w:t>. ЦЕЛЕВАЯ НАДБАВКА НА ВЫПОЛНЕНИЕ КАПИТАЛЬНОГО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РЕМОНТА ИНФРАСТРУКТУРЫ ЖЕЛЕЗНОДОРОЖНОГО</w:t>
      </w: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 ОБЩЕГО ПОЛЬЗОВАНИЯ</w:t>
      </w:r>
    </w:p>
    <w:p w:rsidR="00A36FCF" w:rsidRDefault="00FC7B4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A36FCF" w:rsidRDefault="00A36FCF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1A85" w:rsidRDefault="00A31A85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9. В таблице «Дополнительные индексы к действующим тарифам, сборам</w:t>
      </w:r>
      <w:r>
        <w:br/>
      </w:r>
      <w:r>
        <w:rPr>
          <w:sz w:val="28"/>
          <w:szCs w:val="28"/>
        </w:rPr>
        <w:t>и плате, применяемые в целях формирования дополнительной целевой надбавки на выполнение капитального ремонта инфраструктуры железнодорожного транспорта общего пользования» приложения № 7 в графе «Дополнительные индексы» столбцы «2023 год», «2024 год», «2025 год» изложить в следующей редакции:</w:t>
      </w:r>
    </w:p>
    <w:p w:rsidR="00A36FCF" w:rsidRDefault="00FC7B4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3952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988"/>
        <w:gridCol w:w="988"/>
        <w:gridCol w:w="988"/>
      </w:tblGrid>
      <w:tr w:rsidR="00A36FC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01.01. по 30.11.)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</w:tr>
      <w:tr w:rsidR="00A36FC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</w:tr>
      <w:tr w:rsidR="00A36FC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</w:tr>
    </w:tbl>
    <w:p w:rsidR="00A36FCF" w:rsidRDefault="00FC7B49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Дополнить </w:t>
      </w:r>
      <w:r w:rsidRPr="00C95927">
        <w:rPr>
          <w:sz w:val="28"/>
          <w:szCs w:val="28"/>
        </w:rPr>
        <w:t>после подпункта «в» пункта 4 приложения</w:t>
      </w:r>
      <w:r>
        <w:rPr>
          <w:sz w:val="28"/>
          <w:szCs w:val="28"/>
        </w:rPr>
        <w:t xml:space="preserve"> № 7 </w:t>
      </w:r>
      <w:r w:rsidR="00A31A85">
        <w:rPr>
          <w:sz w:val="28"/>
          <w:szCs w:val="28"/>
        </w:rPr>
        <w:t xml:space="preserve">наименованием </w:t>
      </w:r>
      <w:r>
        <w:rPr>
          <w:sz w:val="28"/>
          <w:szCs w:val="28"/>
        </w:rPr>
        <w:t>раздел</w:t>
      </w:r>
      <w:r w:rsidR="00A31A85">
        <w:rPr>
          <w:sz w:val="28"/>
          <w:szCs w:val="28"/>
        </w:rPr>
        <w:t xml:space="preserve">а в </w:t>
      </w:r>
      <w:r>
        <w:rPr>
          <w:sz w:val="28"/>
          <w:szCs w:val="28"/>
        </w:rPr>
        <w:t>следующе</w:t>
      </w:r>
      <w:r w:rsidR="00A31A85">
        <w:rPr>
          <w:sz w:val="28"/>
          <w:szCs w:val="28"/>
        </w:rPr>
        <w:t>й редакции</w:t>
      </w:r>
      <w:r>
        <w:rPr>
          <w:sz w:val="28"/>
          <w:szCs w:val="28"/>
        </w:rPr>
        <w:t>:</w:t>
      </w:r>
    </w:p>
    <w:p w:rsidR="00A36FCF" w:rsidRDefault="00A36FCF">
      <w:pPr>
        <w:pStyle w:val="ConsPlusNormal"/>
        <w:ind w:firstLine="540"/>
        <w:jc w:val="both"/>
        <w:rPr>
          <w:sz w:val="28"/>
          <w:szCs w:val="28"/>
        </w:rPr>
      </w:pP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74342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43424" w:rsidRPr="00D317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ЦЕЛЕВАЯ НАДБАВКА НА ФИНАНСИРОВАНИЕ МЕРОПРИЯТИЙ ПО КОМПЕНСАЦИИ РАСХОДОВ, СВЯЗАННЫХ С КОРРЕКТИРОВКОЙ НАЛОГОВОГО ЗАКОНОДАТЕЛЬСТВА</w:t>
      </w:r>
    </w:p>
    <w:p w:rsidR="00A36FCF" w:rsidRDefault="00FC7B49">
      <w:pPr>
        <w:pStyle w:val="ConsPlusTitle"/>
        <w:spacing w:line="360" w:lineRule="auto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A36FCF" w:rsidRDefault="00FC7B49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C95927">
        <w:rPr>
          <w:sz w:val="28"/>
          <w:szCs w:val="28"/>
        </w:rPr>
        <w:t>П</w:t>
      </w:r>
      <w:r w:rsidRPr="00C95927">
        <w:rPr>
          <w:sz w:val="28"/>
          <w:szCs w:val="28"/>
        </w:rPr>
        <w:t>риложени</w:t>
      </w:r>
      <w:r w:rsidR="00C95927">
        <w:rPr>
          <w:sz w:val="28"/>
          <w:szCs w:val="28"/>
        </w:rPr>
        <w:t>е</w:t>
      </w:r>
      <w:r>
        <w:rPr>
          <w:sz w:val="28"/>
          <w:szCs w:val="28"/>
        </w:rPr>
        <w:t xml:space="preserve"> № 7 дополнить разделом</w:t>
      </w:r>
      <w:r w:rsidR="00A31A8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A36FCF" w:rsidRDefault="00A36F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36FCF" w:rsidRDefault="00FC7B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3424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ЦЕЛЕВАЯ НАДБАВКА НА ФИНАНСИРОВАНИЕ МЕРОПРИЯТИЙ ПО КОМПЕНСАЦИИ РАСХОДОВ, СВЯЗАННЫХ С ОБЕСПЕЧЕНИЕМ ТРАНСПОРТНОЙ БЕЗОПАСНОСТИ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 xml:space="preserve">Коэффициент дополнительной индексации к тарифам, сборам и плате, </w:t>
      </w:r>
      <w:r>
        <w:br/>
      </w:r>
      <w:r>
        <w:rPr>
          <w:sz w:val="28"/>
          <w:szCs w:val="28"/>
        </w:rPr>
        <w:t>в отношении перевозки грузов и оказания услуг по использованию инфраструктуры железнодорожного транспорта общего пользования и при перевозках грузов для финансирования мероприятий по компенсации расходов, связанных с обеспечением транспортной безопасности.</w:t>
      </w:r>
    </w:p>
    <w:p w:rsidR="00A36FCF" w:rsidRDefault="00A36FCF">
      <w:pPr>
        <w:pStyle w:val="ConsPlusNormal"/>
        <w:jc w:val="both"/>
        <w:rPr>
          <w:sz w:val="28"/>
          <w:szCs w:val="28"/>
        </w:rPr>
      </w:pPr>
    </w:p>
    <w:tbl>
      <w:tblPr>
        <w:tblW w:w="8852" w:type="dxa"/>
        <w:tblInd w:w="-108" w:type="dxa"/>
        <w:tblLayout w:type="fixed"/>
        <w:tblCellMar>
          <w:top w:w="102" w:type="dxa"/>
          <w:bottom w:w="102" w:type="dxa"/>
        </w:tblCellMar>
        <w:tblLook w:val="04A0" w:firstRow="1" w:lastRow="0" w:firstColumn="1" w:lastColumn="0" w:noHBand="0" w:noVBand="1"/>
      </w:tblPr>
      <w:tblGrid>
        <w:gridCol w:w="3345"/>
        <w:gridCol w:w="1725"/>
        <w:gridCol w:w="1962"/>
        <w:gridCol w:w="1820"/>
      </w:tblGrid>
      <w:tr w:rsidR="00A36FCF">
        <w:tc>
          <w:tcPr>
            <w:tcW w:w="3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Ставки тарифов, плат и сборов</w:t>
            </w:r>
          </w:p>
        </w:tc>
        <w:tc>
          <w:tcPr>
            <w:tcW w:w="5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индексы</w:t>
            </w:r>
          </w:p>
        </w:tc>
      </w:tr>
      <w:tr w:rsidR="00A36FCF">
        <w:tc>
          <w:tcPr>
            <w:tcW w:w="3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A36FCF"/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Ставки тарифов, сборов и плат раздела 2 и 4 части I Прейскуранта № 10-01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1,02</w:t>
            </w:r>
          </w:p>
        </w:tc>
      </w:tr>
      <w:tr w:rsidR="00A36FCF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Ставки платы за перевозки специальных грузов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1,02</w:t>
            </w:r>
          </w:p>
        </w:tc>
      </w:tr>
      <w:tr w:rsidR="00A36FCF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Ставка плата за нахождение на железнодорожных путях общего </w:t>
            </w:r>
            <w:proofErr w:type="gramStart"/>
            <w:r>
              <w:rPr>
                <w:sz w:val="28"/>
                <w:szCs w:val="28"/>
              </w:rPr>
              <w:t>пользования  подвижного</w:t>
            </w:r>
            <w:proofErr w:type="gramEnd"/>
            <w:r>
              <w:rPr>
                <w:sz w:val="28"/>
                <w:szCs w:val="28"/>
              </w:rPr>
              <w:t xml:space="preserve"> состава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1,02</w:t>
            </w:r>
          </w:p>
        </w:tc>
      </w:tr>
    </w:tbl>
    <w:p w:rsidR="00A36FCF" w:rsidRDefault="00A36FCF">
      <w:pPr>
        <w:pStyle w:val="ConsPlusNormal"/>
        <w:jc w:val="both"/>
        <w:rPr>
          <w:sz w:val="28"/>
          <w:szCs w:val="28"/>
        </w:rPr>
      </w:pPr>
    </w:p>
    <w:p w:rsidR="00A36FCF" w:rsidRDefault="00FC7B4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Примечание.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2023-2025 годах дополнительная целевая надбавка (в виде коэффициента дополнительной индексации тарифов) к тарифам, сборам и плате в отношении перевозки грузов и оказания услуг по использованию инфраструктуры железнодорожного транспорта общего пользования при перевозках грузов</w:t>
      </w:r>
      <w:r>
        <w:rPr>
          <w:sz w:val="28"/>
          <w:szCs w:val="28"/>
        </w:rPr>
        <w:br/>
        <w:t>для финансирования мероприятий по компенсации расходов, связанных</w:t>
      </w:r>
      <w:r>
        <w:rPr>
          <w:sz w:val="28"/>
          <w:szCs w:val="28"/>
        </w:rPr>
        <w:br/>
        <w:t>с связанных с обеспечением транспортной безопасности, применяется</w:t>
      </w:r>
      <w:r>
        <w:rPr>
          <w:sz w:val="28"/>
          <w:szCs w:val="28"/>
        </w:rPr>
        <w:br/>
        <w:t xml:space="preserve">ОАО «РЖД» в соответствии с пунктом 9(1)  Положения 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05.08.2009 № 643. </w:t>
      </w: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Дополнительная целевая надбавка на компенсации расходов, связанных</w:t>
      </w:r>
      <w:r>
        <w:br/>
      </w:r>
      <w:r>
        <w:rPr>
          <w:sz w:val="28"/>
          <w:szCs w:val="28"/>
        </w:rPr>
        <w:t>с обеспечением транспортной безопасности устанавливается в виде дополнительного индекса к действующим тарифам, сборам и плате с целью покрытия расходов субъекта регулирования в 2023-2025 годах на компенсацию соответствующих расходов, не включенных в индексацию на 2023-2025 годы тарифов на перевозку грузов и оказание услуг инфраструктуры железнодорожного транспорта общего пользования.</w:t>
      </w:r>
    </w:p>
    <w:p w:rsidR="00A36FCF" w:rsidRDefault="00FC7B49">
      <w:pPr>
        <w:pStyle w:val="ConsPlusNormal"/>
        <w:spacing w:line="360" w:lineRule="auto"/>
        <w:ind w:firstLine="851"/>
        <w:jc w:val="both"/>
      </w:pPr>
      <w:r>
        <w:rPr>
          <w:sz w:val="28"/>
          <w:szCs w:val="28"/>
        </w:rPr>
        <w:t>Раздельный учет расходов, связанных с обеспечением транспортной безопасности, в рамках дополнительной целевой надбавки, ведется субъектом регулирования отдельно от соответствующих расходов, осуществляемых</w:t>
      </w:r>
      <w:r>
        <w:br/>
      </w:r>
      <w:r>
        <w:rPr>
          <w:sz w:val="28"/>
          <w:szCs w:val="28"/>
        </w:rPr>
        <w:t>в рамках индексации тарифов на перевозку грузов железнодорожным транспортом и услуги инфраструктуры железнодорожного транспорта общего пользования.».</w:t>
      </w:r>
    </w:p>
    <w:p w:rsidR="00A36FCF" w:rsidRDefault="00FC7B49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12. В таблице «Индексы к базовым ставкам платы за перевозки специальных грузов» приложения № 8 в графе «Индексы» столбцы «2023 год», «2024 год», «2025 год» изложить в следующей редакции:</w:t>
      </w:r>
    </w:p>
    <w:p w:rsidR="00A36FCF" w:rsidRDefault="00FC7B49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3588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4"/>
        <w:gridCol w:w="992"/>
        <w:gridCol w:w="770"/>
        <w:gridCol w:w="772"/>
      </w:tblGrid>
      <w:tr w:rsidR="00A36FCF"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01.01. по 30.11.)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(с 01.12. по 31.12.)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A36FCF"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FCF" w:rsidRDefault="00FC7B4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1,725</w:t>
            </w:r>
          </w:p>
        </w:tc>
      </w:tr>
    </w:tbl>
    <w:p w:rsidR="00A36FCF" w:rsidRDefault="00A36FCF">
      <w:pPr>
        <w:pStyle w:val="ConsPlusNormal"/>
        <w:jc w:val="right"/>
        <w:rPr>
          <w:b/>
          <w:bCs/>
          <w:color w:val="000000"/>
          <w:kern w:val="0"/>
          <w:sz w:val="28"/>
          <w:szCs w:val="28"/>
        </w:rPr>
      </w:pPr>
    </w:p>
    <w:p w:rsidR="00A36FCF" w:rsidRDefault="00FC7B49">
      <w:pPr>
        <w:pStyle w:val="ConsPlusNormal"/>
        <w:jc w:val="right"/>
        <w:rPr>
          <w:b/>
          <w:bCs/>
          <w:color w:val="000000"/>
          <w:kern w:val="0"/>
          <w:sz w:val="28"/>
          <w:szCs w:val="28"/>
        </w:rPr>
      </w:pPr>
      <w:r>
        <w:rPr>
          <w:b/>
          <w:bCs/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».</w:t>
      </w:r>
    </w:p>
    <w:sectPr w:rsidR="00A36FCF" w:rsidSect="002B58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96" w:right="567" w:bottom="1693" w:left="1417" w:header="737" w:footer="1134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126" w:rsidRDefault="00045126">
      <w:r>
        <w:separator/>
      </w:r>
    </w:p>
  </w:endnote>
  <w:endnote w:type="continuationSeparator" w:id="0">
    <w:p w:rsidR="00045126" w:rsidRDefault="0004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F8F" w:rsidRDefault="00D70F8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CF" w:rsidRDefault="009A63D8">
    <w:pPr>
      <w:pStyle w:val="ab"/>
    </w:pPr>
    <w:r>
      <w:rPr>
        <w:noProof/>
        <w:lang w:eastAsia="ru-RU" w:bidi="ar-SA"/>
      </w:rPr>
      <mc:AlternateContent>
        <mc:Choice Requires="wps">
          <w:drawing>
            <wp:anchor distT="179705" distB="72390" distL="72390" distR="72390" simplePos="0" relativeHeight="14" behindDoc="0" locked="0" layoutInCell="0" allowOverlap="1">
              <wp:simplePos x="0" y="0"/>
              <wp:positionH relativeFrom="column">
                <wp:posOffset>5080</wp:posOffset>
              </wp:positionH>
              <wp:positionV relativeFrom="paragraph">
                <wp:posOffset>-10160</wp:posOffset>
              </wp:positionV>
              <wp:extent cx="1727835" cy="408940"/>
              <wp:effectExtent l="0" t="0" r="5715" b="0"/>
              <wp:wrapSquare wrapText="bothSides"/>
              <wp:docPr id="1" name="Врезка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835" cy="408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A36FCF" w:rsidRDefault="00A36FCF">
                          <w:pPr>
                            <w:pStyle w:val="ac"/>
                          </w:pPr>
                        </w:p>
                      </w:txbxContent>
                    </wps:txbx>
                    <wps:bodyPr lIns="53975" tIns="179705" rIns="179705" bIns="53975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6" type="#_x0000_t202" style="position:absolute;margin-left:.4pt;margin-top:-.8pt;width:136.05pt;height:32.2pt;z-index:14;visibility:visible;mso-wrap-style:square;mso-width-percent:0;mso-height-percent:0;mso-wrap-distance-left:5.7pt;mso-wrap-distance-top:14.15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" o:allowincell="f" stroked="f">
              <v:path arrowok="t"/>
              <v:textbox inset="4.25pt,14.15pt,14.15pt,4.25pt">
                <w:txbxContent>
                  <w:p w:rsidR="00A36FCF" w:rsidRDefault="00A36FCF">
                    <w:pPr>
                      <w:pStyle w:val="ac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CF" w:rsidRDefault="00A36FCF">
    <w:pPr>
      <w:pStyle w:val="ab"/>
    </w:pPr>
  </w:p>
  <w:p w:rsidR="00A36FCF" w:rsidRDefault="009A63D8">
    <w:pPr>
      <w:pStyle w:val="ab"/>
    </w:pPr>
    <w:r>
      <w:rPr>
        <w:noProof/>
        <w:lang w:eastAsia="ru-RU" w:bidi="ar-SA"/>
      </w:rPr>
      <mc:AlternateContent>
        <mc:Choice Requires="wps">
          <w:drawing>
            <wp:anchor distT="179705" distB="72390" distL="72390" distR="72390" simplePos="0" relativeHeight="3" behindDoc="0" locked="0" layoutInCell="0" allowOverlap="1">
              <wp:simplePos x="0" y="0"/>
              <wp:positionH relativeFrom="column">
                <wp:posOffset>-52070</wp:posOffset>
              </wp:positionH>
              <wp:positionV relativeFrom="paragraph">
                <wp:posOffset>147955</wp:posOffset>
              </wp:positionV>
              <wp:extent cx="1727835" cy="408940"/>
              <wp:effectExtent l="0" t="0" r="5715" b="0"/>
              <wp:wrapSquare wrapText="bothSides"/>
              <wp:docPr id="3" name="Врезка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835" cy="408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A36FCF" w:rsidRDefault="00A36FCF">
                          <w:pPr>
                            <w:pStyle w:val="ac"/>
                          </w:pPr>
                        </w:p>
                      </w:txbxContent>
                    </wps:txbx>
                    <wps:bodyPr lIns="53975" tIns="179705" rIns="179705" bIns="53975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3" o:spid="_x0000_s1027" type="#_x0000_t202" style="position:absolute;margin-left:-4.1pt;margin-top:11.65pt;width:136.05pt;height:32.2pt;z-index:3;visibility:visible;mso-wrap-style:square;mso-width-percent:0;mso-height-percent:0;mso-wrap-distance-left:5.7pt;mso-wrap-distance-top:14.15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" o:allowincell="f" stroked="f">
              <v:path arrowok="t"/>
              <v:textbox inset="4.25pt,14.15pt,14.15pt,4.25pt">
                <w:txbxContent>
                  <w:p w:rsidR="00A36FCF" w:rsidRDefault="00A36FCF">
                    <w:pPr>
                      <w:pStyle w:val="ac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126" w:rsidRDefault="00045126">
      <w:r>
        <w:separator/>
      </w:r>
    </w:p>
  </w:footnote>
  <w:footnote w:type="continuationSeparator" w:id="0">
    <w:p w:rsidR="00045126" w:rsidRDefault="00045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F8F" w:rsidRDefault="00D70F8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CF" w:rsidRDefault="00212919">
    <w:pPr>
      <w:pStyle w:val="ae"/>
      <w:jc w:val="center"/>
    </w:pPr>
    <w:r>
      <w:fldChar w:fldCharType="begin"/>
    </w:r>
    <w:r w:rsidR="00FC7B49">
      <w:instrText>PAGE</w:instrText>
    </w:r>
    <w:r>
      <w:fldChar w:fldCharType="separate"/>
    </w:r>
    <w:r w:rsidR="00BD1AD6">
      <w:rPr>
        <w:noProof/>
      </w:rPr>
      <w:t>12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F8F" w:rsidRDefault="00D70F8F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notation" w:val="О внесении изменений в приказ ФАС России от 10 декабря 2015 г.№ 1226/15 «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, Методические указания по вопросу государственного регулирования тарифов на услуги железнодорожного транспорта по перевозке грузов и услуги _x000a_по использованию железнодорожной инфраструктуры общего пользования при грузовых перевозках, утвержденные приказом ФСТ России от 30 августа 2013 г.№ 166-т/1, приказ ФАС России от 26 мая  2022 г._x000a_№ 408/22 «О внесении изменений в приказ ФАС России от 10 декабря 2015 г. № 1226/15 и о неприменении отдельных коэффициентов на экспортные перевозки  угля каменного, установленных постановлением _x000a_ФЭК России  от 17 июня 2003 г. № 47-т/5»"/>
    <w:docVar w:name="Name" w:val="О внесении изменений в приказ ФАС России от 10 декабря 2015 г.№ 1226/15 «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, Методические указания по вопросу государственного регулирования тарифов на услуги железнодорожного транспорта по перевозке грузов и услуги _x000a_по использованию железнодорожной инфраструктуры общего пользования при грузовых перевозках, утвержденные приказом ФСТ России от 30 августа 2013 г.№ 166-т/1, приказ ФАС России от 26 мая  2022 г._x000a_№ 408/22 «О внесении изменений в приказ ФАС России от 10 декабря 2015 г. № 1226/15 и о неприменении отдельных коэффициентов на экспортные перевозки  угля каменного, установленных постановлением _x000a_ФЭК России  от 17 июня 2003 г. № 47-т/5»"/>
    <w:docVar w:name="PredsedatelDolj" w:val="Руководитель"/>
    <w:docVar w:name="PredsedatelIOF" w:val="М.А. Шаскольский"/>
    <w:docVar w:name="ProjectNumber" w:val="2023-120296"/>
  </w:docVars>
  <w:rsids>
    <w:rsidRoot w:val="00A36FCF"/>
    <w:rsid w:val="00045126"/>
    <w:rsid w:val="001B2D6D"/>
    <w:rsid w:val="00212919"/>
    <w:rsid w:val="002B580A"/>
    <w:rsid w:val="002D0513"/>
    <w:rsid w:val="00415358"/>
    <w:rsid w:val="005D323B"/>
    <w:rsid w:val="00743424"/>
    <w:rsid w:val="009A63D8"/>
    <w:rsid w:val="009F175B"/>
    <w:rsid w:val="00A31A85"/>
    <w:rsid w:val="00A36FCF"/>
    <w:rsid w:val="00BD1AD6"/>
    <w:rsid w:val="00C95927"/>
    <w:rsid w:val="00D317FD"/>
    <w:rsid w:val="00D70F8F"/>
    <w:rsid w:val="00E80C11"/>
    <w:rsid w:val="00EF42F6"/>
    <w:rsid w:val="00F76483"/>
    <w:rsid w:val="00FC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95C8BA-5BB5-4AE1-B6D9-677BF155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B580A"/>
  </w:style>
  <w:style w:type="character" w:customStyle="1" w:styleId="a4">
    <w:name w:val="Нижний колонтитул Знак"/>
    <w:basedOn w:val="a0"/>
    <w:qFormat/>
    <w:rsid w:val="002B580A"/>
  </w:style>
  <w:style w:type="character" w:customStyle="1" w:styleId="-">
    <w:name w:val="Интернет-ссылка"/>
    <w:rsid w:val="002B580A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rsid w:val="002B580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rsid w:val="002B580A"/>
    <w:pPr>
      <w:spacing w:after="120"/>
    </w:pPr>
  </w:style>
  <w:style w:type="paragraph" w:styleId="a7">
    <w:name w:val="List"/>
    <w:basedOn w:val="a6"/>
    <w:rsid w:val="002B580A"/>
  </w:style>
  <w:style w:type="paragraph" w:styleId="a8">
    <w:name w:val="caption"/>
    <w:basedOn w:val="a"/>
    <w:qFormat/>
    <w:rsid w:val="002B580A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2B580A"/>
    <w:pPr>
      <w:suppressLineNumbers/>
    </w:pPr>
  </w:style>
  <w:style w:type="paragraph" w:customStyle="1" w:styleId="aa">
    <w:name w:val="Верхний и нижний колонтитулы"/>
    <w:basedOn w:val="a"/>
    <w:qFormat/>
    <w:rsid w:val="002B580A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rsid w:val="002B580A"/>
    <w:pPr>
      <w:suppressLineNumbers/>
      <w:tabs>
        <w:tab w:val="center" w:pos="4819"/>
        <w:tab w:val="right" w:pos="9638"/>
      </w:tabs>
    </w:pPr>
  </w:style>
  <w:style w:type="paragraph" w:customStyle="1" w:styleId="ac">
    <w:name w:val="Содержимое врезки"/>
    <w:basedOn w:val="a6"/>
    <w:qFormat/>
    <w:rsid w:val="002B580A"/>
  </w:style>
  <w:style w:type="paragraph" w:customStyle="1" w:styleId="ad">
    <w:name w:val="Содержимое таблицы"/>
    <w:basedOn w:val="a"/>
    <w:qFormat/>
    <w:rsid w:val="002B580A"/>
    <w:pPr>
      <w:suppressLineNumbers/>
    </w:pPr>
  </w:style>
  <w:style w:type="paragraph" w:customStyle="1" w:styleId="1">
    <w:name w:val="Обычная таблица1"/>
    <w:qFormat/>
    <w:rsid w:val="002B580A"/>
    <w:pPr>
      <w:spacing w:after="160" w:line="256" w:lineRule="auto"/>
    </w:pPr>
    <w:rPr>
      <w:rFonts w:ascii="Calibri" w:eastAsia="Cambria Math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qFormat/>
    <w:rsid w:val="002B580A"/>
    <w:pPr>
      <w:widowControl w:val="0"/>
    </w:pPr>
    <w:rPr>
      <w:rFonts w:eastAsia="Cambria Math" w:cs="Times New Roman"/>
      <w:lang w:eastAsia="ru-RU" w:bidi="ar-SA"/>
    </w:rPr>
  </w:style>
  <w:style w:type="paragraph" w:customStyle="1" w:styleId="ConsPlusTitle">
    <w:name w:val="ConsPlusTitle"/>
    <w:qFormat/>
    <w:rsid w:val="002B580A"/>
    <w:pPr>
      <w:widowControl w:val="0"/>
    </w:pPr>
    <w:rPr>
      <w:rFonts w:ascii="Arial" w:eastAsia="Cambria Math" w:hAnsi="Arial" w:cs="Arial"/>
      <w:b/>
      <w:bCs/>
      <w:lang w:eastAsia="ru-RU" w:bidi="ar-SA"/>
    </w:rPr>
  </w:style>
  <w:style w:type="paragraph" w:styleId="ae">
    <w:name w:val="header"/>
    <w:basedOn w:val="aa"/>
    <w:rsid w:val="002B580A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f">
    <w:name w:val="Верхний колонтитул слева"/>
    <w:basedOn w:val="ae"/>
    <w:qFormat/>
    <w:rsid w:val="002B5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2438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RZD</Company>
  <LinksUpToDate>false</LinksUpToDate>
  <CharactersWithSpaces>16305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Владимировна</dc:creator>
  <cp:lastModifiedBy>Екатерина Сергеевна Сомова</cp:lastModifiedBy>
  <cp:revision>2</cp:revision>
  <cp:lastPrinted>2023-10-05T18:27:00Z</cp:lastPrinted>
  <dcterms:created xsi:type="dcterms:W3CDTF">2023-10-06T13:20:00Z</dcterms:created>
  <dcterms:modified xsi:type="dcterms:W3CDTF">2023-10-06T13:20:00Z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ContentHash">
    <vt:lpwstr>oQJKMmZe2GWwb+P6lmxvcQ==</vt:lpwstr>
  </property>
  <property fmtid="{D5CDD505-2E9C-101B-9397-08002B2CF9AE}" pid="3" name="PreviousContentHash">
    <vt:lpwstr>VxLaBEGLM55lYiBo85f9AQ==</vt:lpwstr>
  </property>
</Properties>
</file>